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7C332A">
        <w:rPr>
          <w:rFonts w:eastAsia="Times New Roman"/>
          <w:color w:val="222222"/>
          <w:szCs w:val="24"/>
        </w:rPr>
        <w:t>June 3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>        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>Revision of Section 102 – Examination of Plans</w:t>
      </w:r>
      <w:r w:rsidR="007C332A">
        <w:rPr>
          <w:rFonts w:eastAsia="Times New Roman"/>
          <w:color w:val="222222"/>
          <w:szCs w:val="24"/>
        </w:rPr>
        <w:t xml:space="preserve">, Specifications, Special </w:t>
      </w:r>
    </w:p>
    <w:p w:rsidR="00504AD5" w:rsidRPr="007C332A" w:rsidRDefault="007C332A" w:rsidP="00504AD5">
      <w:pPr>
        <w:shd w:val="clear" w:color="auto" w:fill="FFFFFF"/>
        <w:spacing w:before="0" w:after="0"/>
        <w:textAlignment w:val="baseline"/>
        <w:rPr>
          <w:rFonts w:eastAsia="Times New Roman"/>
          <w:smallCaps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>
        <w:rPr>
          <w:rFonts w:eastAsia="Times New Roman"/>
          <w:color w:val="222222"/>
          <w:szCs w:val="24"/>
        </w:rPr>
        <w:tab/>
        <w:t>Provisions, and Site of Work</w:t>
      </w:r>
    </w:p>
    <w:p w:rsidR="007C332A" w:rsidRPr="00504AD5" w:rsidRDefault="007C332A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8B0341" w:rsidRPr="008B0341">
        <w:rPr>
          <w:rFonts w:eastAsia="Times New Roman"/>
          <w:i/>
          <w:color w:val="222222"/>
          <w:szCs w:val="24"/>
        </w:rPr>
        <w:t>Revision of Section 102 – Examination of Plans, Specifications, Special</w:t>
      </w:r>
      <w:r w:rsidR="008B0341">
        <w:rPr>
          <w:rFonts w:eastAsia="Times New Roman"/>
          <w:i/>
          <w:color w:val="222222"/>
          <w:szCs w:val="24"/>
        </w:rPr>
        <w:t xml:space="preserve"> P</w:t>
      </w:r>
      <w:r w:rsidR="008B0341" w:rsidRPr="008B0341">
        <w:rPr>
          <w:rFonts w:eastAsia="Times New Roman"/>
          <w:i/>
          <w:color w:val="222222"/>
          <w:szCs w:val="24"/>
        </w:rPr>
        <w:t>rovisions, and Site of Work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proofErr w:type="gramStart"/>
      <w:r w:rsidRPr="000C53E3">
        <w:rPr>
          <w:rFonts w:eastAsia="Times New Roman"/>
          <w:color w:val="222222"/>
          <w:szCs w:val="24"/>
        </w:rPr>
        <w:t>one page</w:t>
      </w:r>
      <w:proofErr w:type="gramEnd"/>
      <w:r w:rsidRPr="000C53E3">
        <w:rPr>
          <w:rFonts w:eastAsia="Times New Roman"/>
          <w:color w:val="222222"/>
          <w:szCs w:val="24"/>
        </w:rPr>
        <w:t xml:space="preserve"> long.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on all projects, beginning with projects advertised on or after Ju</w:t>
      </w:r>
      <w:r w:rsidR="000D7A60">
        <w:rPr>
          <w:rFonts w:eastAsia="Times New Roman"/>
          <w:color w:val="222222"/>
          <w:szCs w:val="24"/>
        </w:rPr>
        <w:t>ly 3</w:t>
      </w:r>
      <w:r w:rsidRPr="000C53E3">
        <w:rPr>
          <w:rFonts w:eastAsia="Times New Roman"/>
          <w:color w:val="222222"/>
          <w:szCs w:val="24"/>
        </w:rPr>
        <w:t>, 2019.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17571D">
        <w:rPr>
          <w:rFonts w:eastAsia="Times New Roman"/>
          <w:color w:val="222222"/>
          <w:szCs w:val="24"/>
        </w:rPr>
        <w:t xml:space="preserve">replace the old specification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bookmarkStart w:id="0" w:name="_GoBack"/>
      <w:bookmarkEnd w:id="0"/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E3749C" w:rsidRPr="00E3749C">
          <w:rPr>
            <w:rStyle w:val="Hyperlink"/>
            <w:rFonts w:eastAsia="Times New Roman"/>
            <w:szCs w:val="24"/>
          </w:rPr>
          <w:t>https://www.codot.gov/business/designsupport/cdot-construction-specifications/2017-construction-standard-specs/rev-ssp/rev-sec100-ssp/rev-sec-epsspsw/view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123C"/>
    <w:rsid w:val="000C53E3"/>
    <w:rsid w:val="000D7A60"/>
    <w:rsid w:val="0013001C"/>
    <w:rsid w:val="00132787"/>
    <w:rsid w:val="001443C8"/>
    <w:rsid w:val="0017571D"/>
    <w:rsid w:val="001B2D06"/>
    <w:rsid w:val="00230FE8"/>
    <w:rsid w:val="002709A7"/>
    <w:rsid w:val="00372F45"/>
    <w:rsid w:val="004112C4"/>
    <w:rsid w:val="004A0631"/>
    <w:rsid w:val="004E21B3"/>
    <w:rsid w:val="00504AD5"/>
    <w:rsid w:val="00515C75"/>
    <w:rsid w:val="00714288"/>
    <w:rsid w:val="0072610E"/>
    <w:rsid w:val="007C332A"/>
    <w:rsid w:val="00817147"/>
    <w:rsid w:val="00851891"/>
    <w:rsid w:val="008B0341"/>
    <w:rsid w:val="00C26CB3"/>
    <w:rsid w:val="00C27C38"/>
    <w:rsid w:val="00CC51FE"/>
    <w:rsid w:val="00CE7034"/>
    <w:rsid w:val="00D30F43"/>
    <w:rsid w:val="00D33B52"/>
    <w:rsid w:val="00D33F24"/>
    <w:rsid w:val="00DC3633"/>
    <w:rsid w:val="00E1097D"/>
    <w:rsid w:val="00E3749C"/>
    <w:rsid w:val="00E66A03"/>
    <w:rsid w:val="00E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6FC6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5" Type="http://schemas.openxmlformats.org/officeDocument/2006/relationships/hyperlink" Target="https://www.codot.gov/business/designsupport/cdot-construction-specifications/2017-construction-standard-specs/rev-ssp/rev-sec100-ssp/rev-sec-epsspsw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23</cp:revision>
  <dcterms:created xsi:type="dcterms:W3CDTF">2019-03-25T16:07:00Z</dcterms:created>
  <dcterms:modified xsi:type="dcterms:W3CDTF">2019-06-03T21:19:00Z</dcterms:modified>
</cp:coreProperties>
</file>